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0" w:lineRule="auto"/>
        <w:rPr/>
      </w:pPr>
      <w:r w:rsidDel="00000000" w:rsidR="00000000" w:rsidRPr="00000000">
        <w:rPr>
          <w:b w:val="1"/>
          <w:bCs w:val="1"/>
          <w:color w:val="1f3a68"/>
          <w:sz w:val="72"/>
          <w:szCs w:val="72"/>
          <w:rtl w:val="0"/>
        </w:rPr>
        <w:t xml:space="preserve">Adsquare Press kit.</w:t>
      </w:r>
      <w:r w:rsidDel="00000000" w:rsidR="00000000" w:rsidRPr="00000000">
        <w:rPr>
          <w:rtl w:val="0"/>
        </w:rPr>
      </w:r>
    </w:p>
    <w:p w:rsidR="00000000" w:rsidDel="00000000" w:rsidP="00000000" w:rsidRDefault="00000000" w:rsidRPr="00000000" w14:paraId="00000002">
      <w:pPr>
        <w:spacing w:after="480" w:lineRule="auto"/>
        <w:rPr/>
      </w:pPr>
      <w:r w:rsidDel="00000000" w:rsidR="00000000" w:rsidRPr="00000000">
        <w:rPr>
          <w:sz w:val="28"/>
          <w:szCs w:val="28"/>
          <w:rtl w:val="0"/>
        </w:rPr>
        <w:t xml:space="preserve">Real-World Data for </w:t>
      </w:r>
      <w:r w:rsidDel="00000000" w:rsidR="00000000" w:rsidRPr="00000000">
        <w:rPr>
          <w:sz w:val="28"/>
          <w:szCs w:val="28"/>
          <w:rtl w:val="0"/>
        </w:rPr>
        <w:t xml:space="preserve">The Outcomes Era.</w:t>
      </w:r>
      <w:r w:rsidDel="00000000" w:rsidR="00000000" w:rsidRPr="00000000">
        <w:rPr>
          <w:rtl w:val="0"/>
        </w:rPr>
      </w:r>
    </w:p>
    <w:p w:rsidR="00000000" w:rsidDel="00000000" w:rsidP="00000000" w:rsidRDefault="00000000" w:rsidRPr="00000000" w14:paraId="00000003">
      <w:pPr>
        <w:pStyle w:val="Heading1"/>
        <w:spacing w:after="200" w:before="360" w:lineRule="auto"/>
        <w:rPr/>
      </w:pPr>
      <w:r w:rsidDel="00000000" w:rsidR="00000000" w:rsidRPr="00000000">
        <w:rPr>
          <w:color w:val="1f3a68"/>
          <w:rtl w:val="0"/>
        </w:rPr>
        <w:t xml:space="preserve">At a glance.</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Our quick-reference card for when you need the facts in 30 seconds.</w:t>
      </w:r>
    </w:p>
    <w:p w:rsidR="00000000" w:rsidDel="00000000" w:rsidP="00000000" w:rsidRDefault="00000000" w:rsidRPr="00000000" w14:paraId="00000005">
      <w:pPr>
        <w:spacing w:after="120" w:lineRule="auto"/>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0"/>
        <w:gridCol w:w="6360"/>
        <w:tblGridChange w:id="0">
          <w:tblGrid>
            <w:gridCol w:w="3000"/>
            <w:gridCol w:w="6360"/>
          </w:tblGrid>
        </w:tblGridChange>
      </w:tblGrid>
      <w:tr>
        <w:trPr>
          <w:cantSplit w:val="0"/>
          <w:tblHeader w:val="0"/>
        </w:trPr>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06">
            <w:pPr>
              <w:rPr>
                <w:color w:val="1f3a68"/>
              </w:rPr>
            </w:pPr>
            <w:r w:rsidDel="00000000" w:rsidR="00000000" w:rsidRPr="00000000">
              <w:rPr>
                <w:b w:val="1"/>
                <w:bCs w:val="1"/>
                <w:color w:val="1f3a68"/>
                <w:rtl w:val="0"/>
              </w:rPr>
              <w:t xml:space="preserve">What we do</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07">
            <w:pPr>
              <w:rPr/>
            </w:pPr>
            <w:r w:rsidDel="00000000" w:rsidR="00000000" w:rsidRPr="00000000">
              <w:rPr>
                <w:rtl w:val="0"/>
              </w:rPr>
              <w:t xml:space="preserve">Real-world data and outcome measurement for programmatic advertising</w:t>
            </w:r>
          </w:p>
        </w:tc>
      </w:tr>
      <w:tr>
        <w:trPr>
          <w:cantSplit w:val="0"/>
          <w:tblHeader w:val="0"/>
        </w:trPr>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08">
            <w:pPr>
              <w:rPr>
                <w:color w:val="1f3a68"/>
              </w:rPr>
            </w:pPr>
            <w:r w:rsidDel="00000000" w:rsidR="00000000" w:rsidRPr="00000000">
              <w:rPr>
                <w:b w:val="1"/>
                <w:bCs w:val="1"/>
                <w:color w:val="1f3a68"/>
                <w:rtl w:val="0"/>
              </w:rPr>
              <w:t xml:space="preserve">One-liner</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09">
            <w:pPr>
              <w:rPr/>
            </w:pPr>
            <w:r w:rsidDel="00000000" w:rsidR="00000000" w:rsidRPr="00000000">
              <w:rPr>
                <w:rtl w:val="0"/>
              </w:rPr>
              <w:t xml:space="preserve">Real-World Data for The Outcomes Era.</w:t>
            </w:r>
          </w:p>
        </w:tc>
      </w:tr>
      <w:tr>
        <w:trPr>
          <w:cantSplit w:val="0"/>
          <w:tblHeader w:val="0"/>
        </w:trPr>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0A">
            <w:pPr>
              <w:rPr>
                <w:color w:val="1f3a68"/>
              </w:rPr>
            </w:pPr>
            <w:r w:rsidDel="00000000" w:rsidR="00000000" w:rsidRPr="00000000">
              <w:rPr>
                <w:b w:val="1"/>
                <w:bCs w:val="1"/>
                <w:color w:val="1f3a68"/>
                <w:rtl w:val="0"/>
              </w:rPr>
              <w:t xml:space="preserve">Founded</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0B">
            <w:pPr>
              <w:rPr/>
            </w:pPr>
            <w:r w:rsidDel="00000000" w:rsidR="00000000" w:rsidRPr="00000000">
              <w:rPr>
                <w:rtl w:val="0"/>
              </w:rPr>
              <w:t xml:space="preserve">2012</w:t>
            </w:r>
          </w:p>
        </w:tc>
      </w:tr>
      <w:tr>
        <w:trPr>
          <w:cantSplit w:val="0"/>
          <w:tblHeader w:val="0"/>
        </w:trPr>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0C">
            <w:pPr>
              <w:rPr>
                <w:color w:val="1f3a68"/>
              </w:rPr>
            </w:pPr>
            <w:r w:rsidDel="00000000" w:rsidR="00000000" w:rsidRPr="00000000">
              <w:rPr>
                <w:b w:val="1"/>
                <w:bCs w:val="1"/>
                <w:color w:val="1f3a68"/>
                <w:rtl w:val="0"/>
              </w:rPr>
              <w:t xml:space="preserve">Headquarters</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0D">
            <w:pPr>
              <w:rPr/>
            </w:pPr>
            <w:r w:rsidDel="00000000" w:rsidR="00000000" w:rsidRPr="00000000">
              <w:rPr>
                <w:rtl w:val="0"/>
              </w:rPr>
              <w:t xml:space="preserve">Berlin, Germany</w:t>
            </w:r>
          </w:p>
        </w:tc>
      </w:tr>
      <w:tr>
        <w:trPr>
          <w:cantSplit w:val="0"/>
          <w:tblHeader w:val="0"/>
        </w:trPr>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0E">
            <w:pPr>
              <w:rPr>
                <w:color w:val="1f3a68"/>
              </w:rPr>
            </w:pPr>
            <w:r w:rsidDel="00000000" w:rsidR="00000000" w:rsidRPr="00000000">
              <w:rPr>
                <w:b w:val="1"/>
                <w:bCs w:val="1"/>
                <w:color w:val="1f3a68"/>
                <w:rtl w:val="0"/>
              </w:rPr>
              <w:t xml:space="preserve">Clients</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0F">
            <w:pPr>
              <w:rPr/>
            </w:pPr>
            <w:r w:rsidDel="00000000" w:rsidR="00000000" w:rsidRPr="00000000">
              <w:rPr>
                <w:rtl w:val="0"/>
              </w:rPr>
              <w:t xml:space="preserve">2,500+ globally</w:t>
            </w:r>
          </w:p>
        </w:tc>
      </w:tr>
      <w:tr>
        <w:trPr>
          <w:cantSplit w:val="0"/>
          <w:tblHeader w:val="0"/>
        </w:trPr>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10">
            <w:pPr>
              <w:rPr>
                <w:color w:val="1f3a68"/>
              </w:rPr>
            </w:pPr>
            <w:r w:rsidDel="00000000" w:rsidR="00000000" w:rsidRPr="00000000">
              <w:rPr>
                <w:b w:val="1"/>
                <w:bCs w:val="1"/>
                <w:color w:val="1f3a68"/>
                <w:rtl w:val="0"/>
              </w:rPr>
              <w:t xml:space="preserve">Markets</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11">
            <w:pPr>
              <w:rPr/>
            </w:pPr>
            <w:r w:rsidDel="00000000" w:rsidR="00000000" w:rsidRPr="00000000">
              <w:rPr>
                <w:rtl w:val="0"/>
              </w:rPr>
              <w:t xml:space="preserve">26 markets across the Americas, Europe, and APAC</w:t>
            </w:r>
          </w:p>
        </w:tc>
      </w:tr>
      <w:tr>
        <w:trPr>
          <w:cantSplit w:val="0"/>
          <w:tblHeader w:val="0"/>
        </w:trPr>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12">
            <w:pPr>
              <w:rPr>
                <w:color w:val="1f3a68"/>
              </w:rPr>
            </w:pPr>
            <w:r w:rsidDel="00000000" w:rsidR="00000000" w:rsidRPr="00000000">
              <w:rPr>
                <w:b w:val="1"/>
                <w:bCs w:val="1"/>
                <w:color w:val="1f3a68"/>
                <w:rtl w:val="0"/>
              </w:rPr>
              <w:t xml:space="preserve">Offices</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13">
            <w:pPr>
              <w:rPr/>
            </w:pPr>
            <w:r w:rsidDel="00000000" w:rsidR="00000000" w:rsidRPr="00000000">
              <w:rPr>
                <w:rtl w:val="0"/>
              </w:rPr>
              <w:t xml:space="preserve">9 offices across 3 regions</w:t>
            </w:r>
          </w:p>
        </w:tc>
      </w:tr>
      <w:tr>
        <w:trPr>
          <w:cantSplit w:val="0"/>
          <w:tblHeader w:val="0"/>
        </w:trPr>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14">
            <w:pPr>
              <w:rPr>
                <w:color w:val="1f3a68"/>
              </w:rPr>
            </w:pPr>
            <w:r w:rsidDel="00000000" w:rsidR="00000000" w:rsidRPr="00000000">
              <w:rPr>
                <w:b w:val="1"/>
                <w:bCs w:val="1"/>
                <w:color w:val="1f3a68"/>
                <w:rtl w:val="0"/>
              </w:rPr>
              <w:t xml:space="preserve">People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15">
            <w:pPr>
              <w:rPr/>
            </w:pPr>
            <w:r w:rsidDel="00000000" w:rsidR="00000000" w:rsidRPr="00000000">
              <w:rPr>
                <w:rtl w:val="0"/>
              </w:rPr>
              <w:t xml:space="preserve">145</w:t>
            </w:r>
          </w:p>
        </w:tc>
      </w:tr>
      <w:tr>
        <w:trPr>
          <w:cantSplit w:val="0"/>
          <w:tblHeader w:val="0"/>
        </w:trPr>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16">
            <w:pPr>
              <w:rPr>
                <w:color w:val="1f3a68"/>
              </w:rPr>
            </w:pPr>
            <w:r w:rsidDel="00000000" w:rsidR="00000000" w:rsidRPr="00000000">
              <w:rPr>
                <w:b w:val="1"/>
                <w:bCs w:val="1"/>
                <w:color w:val="1f3a68"/>
                <w:rtl w:val="0"/>
              </w:rPr>
              <w:t xml:space="preserve">Sales hubs</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100.0" w:type="dxa"/>
              <w:left w:w="120.0" w:type="dxa"/>
              <w:bottom w:w="100.0" w:type="dxa"/>
              <w:right w:w="120.0" w:type="dxa"/>
            </w:tcMar>
          </w:tcPr>
          <w:p w:rsidR="00000000" w:rsidDel="00000000" w:rsidP="00000000" w:rsidRDefault="00000000" w:rsidRPr="00000000" w14:paraId="00000017">
            <w:pPr>
              <w:rPr/>
            </w:pPr>
            <w:r w:rsidDel="00000000" w:rsidR="00000000" w:rsidRPr="00000000">
              <w:rPr>
                <w:rtl w:val="0"/>
              </w:rPr>
              <w:t xml:space="preserve">Berlin · Paris · London · Milan/Madrid · LA/NY/Austin/Miami</w:t>
            </w:r>
          </w:p>
        </w:tc>
      </w:tr>
    </w:tbl>
    <w:p w:rsidR="00000000" w:rsidDel="00000000" w:rsidP="00000000" w:rsidRDefault="00000000" w:rsidRPr="00000000" w14:paraId="00000018">
      <w:pPr>
        <w:pStyle w:val="Heading1"/>
        <w:spacing w:after="200" w:before="360" w:lineRule="auto"/>
        <w:rPr/>
      </w:pPr>
      <w:r w:rsidDel="00000000" w:rsidR="00000000" w:rsidRPr="00000000">
        <w:rPr>
          <w:color w:val="1f3a68"/>
          <w:rtl w:val="0"/>
        </w:rPr>
        <w:t xml:space="preserve">About Adsquare - Our Boilerplate</w:t>
      </w: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e5c28e" w:space="0" w:sz="4" w:val="single"/>
              <w:left w:color="e5c28e" w:space="0" w:sz="4" w:val="single"/>
              <w:bottom w:color="e5c28e" w:space="0" w:sz="4" w:val="single"/>
              <w:right w:color="e5c28e" w:space="0" w:sz="4" w:val="single"/>
            </w:tcBorders>
            <w:shd w:fill="fff7e6" w:val="clear"/>
            <w:tcMar>
              <w:top w:w="160.0" w:type="dxa"/>
              <w:left w:w="200.0" w:type="dxa"/>
              <w:bottom w:w="160.0" w:type="dxa"/>
              <w:right w:w="200.0" w:type="dxa"/>
            </w:tcMar>
          </w:tcPr>
          <w:p w:rsidR="00000000" w:rsidDel="00000000" w:rsidP="00000000" w:rsidRDefault="00000000" w:rsidRPr="00000000" w14:paraId="00000019">
            <w:pPr>
              <w:spacing w:after="0" w:before="0" w:lineRule="auto"/>
              <w:rPr/>
            </w:pPr>
            <w:r w:rsidDel="00000000" w:rsidR="00000000" w:rsidRPr="00000000">
              <w:rPr>
                <w:i w:val="0"/>
                <w:iCs w:val="0"/>
                <w:rtl w:val="0"/>
              </w:rPr>
              <w:t xml:space="preserve">Adsquare makes the physical world measurable - turning real-world behavior into business outcomes.</w:t>
            </w:r>
            <w:r w:rsidDel="00000000" w:rsidR="00000000" w:rsidRPr="00000000">
              <w:rPr>
                <w:rtl w:val="0"/>
              </w:rPr>
            </w:r>
          </w:p>
          <w:p w:rsidR="00000000" w:rsidDel="00000000" w:rsidP="00000000" w:rsidRDefault="00000000" w:rsidRPr="00000000" w14:paraId="0000001A">
            <w:pPr>
              <w:spacing w:after="0" w:before="80" w:lineRule="auto"/>
              <w:rPr/>
            </w:pPr>
            <w:r w:rsidDel="00000000" w:rsidR="00000000" w:rsidRPr="00000000">
              <w:rPr>
                <w:rtl w:val="0"/>
              </w:rPr>
            </w:r>
          </w:p>
          <w:p w:rsidR="00000000" w:rsidDel="00000000" w:rsidP="00000000" w:rsidRDefault="00000000" w:rsidRPr="00000000" w14:paraId="0000001B">
            <w:pPr>
              <w:spacing w:after="0" w:before="80" w:lineRule="auto"/>
              <w:rPr/>
            </w:pPr>
            <w:r w:rsidDel="00000000" w:rsidR="00000000" w:rsidRPr="00000000">
              <w:rPr>
                <w:i w:val="0"/>
                <w:iCs w:val="0"/>
                <w:rtl w:val="0"/>
              </w:rPr>
              <w:t xml:space="preserve">We enable brands, agencies and platforms to plan, target, optimize and validate campaigns that close the online-to-offline gap. As a media-agnostic, Privacy-by-Design platform, we deliver intelligence they trust.</w:t>
            </w:r>
            <w:r w:rsidDel="00000000" w:rsidR="00000000" w:rsidRPr="00000000">
              <w:rPr>
                <w:rtl w:val="0"/>
              </w:rPr>
            </w:r>
          </w:p>
          <w:p w:rsidR="00000000" w:rsidDel="00000000" w:rsidP="00000000" w:rsidRDefault="00000000" w:rsidRPr="00000000" w14:paraId="0000001C">
            <w:pPr>
              <w:spacing w:after="0" w:before="80" w:lineRule="auto"/>
              <w:rPr/>
            </w:pPr>
            <w:r w:rsidDel="00000000" w:rsidR="00000000" w:rsidRPr="00000000">
              <w:rPr>
                <w:rtl w:val="0"/>
              </w:rPr>
            </w:r>
          </w:p>
          <w:p w:rsidR="00000000" w:rsidDel="00000000" w:rsidP="00000000" w:rsidRDefault="00000000" w:rsidRPr="00000000" w14:paraId="0000001D">
            <w:pPr>
              <w:spacing w:after="0" w:before="80" w:lineRule="auto"/>
              <w:rPr/>
            </w:pPr>
            <w:r w:rsidDel="00000000" w:rsidR="00000000" w:rsidRPr="00000000">
              <w:rPr>
                <w:i w:val="0"/>
                <w:iCs w:val="0"/>
                <w:rtl w:val="0"/>
              </w:rPr>
              <w:t xml:space="preserve">Founded in 2012 and headquartered in Berlin, Adsquare operates across the Americas, Europe and APAC - trusted by over 2,500 clients across the globe.</w:t>
            </w:r>
            <w:r w:rsidDel="00000000" w:rsidR="00000000" w:rsidRPr="00000000">
              <w:rPr>
                <w:rtl w:val="0"/>
              </w:rPr>
            </w:r>
          </w:p>
        </w:tc>
      </w:tr>
    </w:tbl>
    <w:p w:rsidR="00000000" w:rsidDel="00000000" w:rsidP="00000000" w:rsidRDefault="00000000" w:rsidRPr="00000000" w14:paraId="0000001E">
      <w:pPr>
        <w:pBdr>
          <w:bottom w:color="cccccc" w:space="1" w:sz="6" w:val="single"/>
        </w:pBdr>
        <w:spacing w:after="240" w:before="240" w:lineRule="auto"/>
        <w:rPr/>
      </w:pPr>
      <w:r w:rsidDel="00000000" w:rsidR="00000000" w:rsidRPr="00000000">
        <w:rPr>
          <w:rtl w:val="0"/>
        </w:rPr>
      </w:r>
    </w:p>
    <w:p w:rsidR="00000000" w:rsidDel="00000000" w:rsidP="00000000" w:rsidRDefault="00000000" w:rsidRPr="00000000" w14:paraId="0000001F">
      <w:pPr>
        <w:pStyle w:val="Heading1"/>
        <w:spacing w:after="200" w:before="360" w:lineRule="auto"/>
        <w:rPr/>
      </w:pPr>
      <w:r w:rsidDel="00000000" w:rsidR="00000000" w:rsidRPr="00000000">
        <w:rPr>
          <w:color w:val="1f3a68"/>
          <w:rtl w:val="0"/>
        </w:rPr>
        <w:t xml:space="preserve">What we do.</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t>Adsquare runs four sequential stages of campaign work as one continuous loop. Real-world signals — location, geospatial, purchase, impression data and the identity graph — power each stage and compound into the next.</w:t>
      </w:r>
    </w:p>
    <w:p w:rsidR="00000000" w:rsidDel="00000000" w:rsidP="00000000" w:rsidRDefault="00000000" w:rsidRPr="00000000" w14:paraId="00000021">
      <w:pPr>
        <w:pStyle w:val="Heading3"/>
        <w:spacing w:after="100" w:before="200" w:lineRule="auto"/>
        <w:rPr/>
      </w:pPr>
      <w:r w:rsidDel="00000000" w:rsidR="00000000" w:rsidRPr="00000000">
        <w:rPr>
          <w:color w:val="1f3a68"/>
          <w:rtl w:val="0"/>
        </w:rPr>
        <w:t xml:space="preserve">The Outcome Loop.</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Planning</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real-world diagnostic and competitive benchmarking. Gain strategic clarity.</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Targeting</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activate audience segments built from offline intent across programmatic and social. Turn insights into action.</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Optimization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real-world conversion data piped into the media platform; traders adjust mid-flight. Drive near real-time efficiency.</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Validation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independent proof of impact through attribution plus incrementality. Tangible results that power the next loop.</w:t>
      </w:r>
    </w:p>
    <w:p w:rsidR="00000000" w:rsidDel="00000000" w:rsidP="00000000" w:rsidRDefault="00000000" w:rsidRPr="00000000" w14:paraId="00000026">
      <w:pPr>
        <w:pStyle w:val="Heading3"/>
        <w:spacing w:after="100" w:before="200" w:lineRule="auto"/>
        <w:rPr/>
      </w:pPr>
      <w:r w:rsidDel="00000000" w:rsidR="00000000" w:rsidRPr="00000000">
        <w:rPr>
          <w:color w:val="1f3a68"/>
          <w:rtl w:val="0"/>
        </w:rPr>
        <w:t xml:space="preserve">Six Products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Store Intelligence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foot-traffic intelligence for brick-and-mortar brands (Planning)</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OOH Intelligence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hourly scoring of OOH inventory against audience and location signals (Planning)</w:t>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ID-Precise Audiences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people-based segments from verified real-world behavior (Targeting)</w:t>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Geo-Contextual Audiences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cookieless, privacy-safe location-based targeting (Targeting)</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Visit Data Feed</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real-world conversion signals piped into the DSP for in-flight adjustment (Optimization)</w:t>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Attribution Report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independent measurement combining attribution and incrementality (Validation)</w:t>
      </w:r>
    </w:p>
    <w:p w:rsidR="00000000" w:rsidDel="00000000" w:rsidP="00000000" w:rsidRDefault="00000000" w:rsidRPr="00000000" w14:paraId="0000002D">
      <w:pPr>
        <w:pStyle w:val="Heading3"/>
        <w:spacing w:after="100" w:before="200" w:lineRule="auto"/>
        <w:rPr/>
      </w:pPr>
      <w:r w:rsidDel="00000000" w:rsidR="00000000" w:rsidRPr="00000000">
        <w:rPr>
          <w:color w:val="1f3a68"/>
          <w:rtl w:val="0"/>
        </w:rPr>
        <w:t xml:space="preserve">Three access routes, one platform.</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Dashboard</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The Adsquare Platform at platform.adsquare.com, the unified interface for brand and agency users.</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API</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direct programmatic access for DSPs, SSPs, content and social platforms, and agency data platforms.</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MCP Server</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Beta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Model Context Protocol access for AI-native and agentic workflows.</w:t>
      </w:r>
    </w:p>
    <w:p w:rsidR="00000000" w:rsidDel="00000000" w:rsidP="00000000" w:rsidRDefault="00000000" w:rsidRPr="00000000" w14:paraId="00000031">
      <w:pPr>
        <w:pBdr>
          <w:bottom w:color="cccccc" w:space="1" w:sz="6" w:val="single"/>
        </w:pBdr>
        <w:spacing w:after="240" w:before="240" w:lineRule="auto"/>
        <w:rPr/>
      </w:pPr>
      <w:r w:rsidDel="00000000" w:rsidR="00000000" w:rsidRPr="00000000">
        <w:rPr>
          <w:rtl w:val="0"/>
        </w:rPr>
      </w:r>
    </w:p>
    <w:p w:rsidR="00000000" w:rsidDel="00000000" w:rsidP="00000000" w:rsidRDefault="00000000" w:rsidRPr="00000000" w14:paraId="00000032">
      <w:pPr>
        <w:pStyle w:val="Heading1"/>
        <w:spacing w:after="200" w:before="360" w:lineRule="auto"/>
        <w:rPr/>
      </w:pPr>
      <w:r w:rsidDel="00000000" w:rsidR="00000000" w:rsidRPr="00000000">
        <w:rPr>
          <w:color w:val="1f3a68"/>
          <w:rtl w:val="0"/>
        </w:rPr>
        <w:t xml:space="preserve">What sets us apart.</w:t>
      </w:r>
      <w:r w:rsidDel="00000000" w:rsidR="00000000" w:rsidRPr="00000000">
        <w:rPr>
          <w:rtl w:val="0"/>
        </w:rPr>
      </w:r>
    </w:p>
    <w:p w:rsidR="00000000" w:rsidDel="00000000" w:rsidP="00000000" w:rsidRDefault="00000000" w:rsidRPr="00000000" w14:paraId="00000033">
      <w:pPr>
        <w:pStyle w:val="Heading3"/>
        <w:spacing w:after="100" w:before="200" w:lineRule="auto"/>
        <w:rPr/>
      </w:pPr>
      <w:r w:rsidDel="00000000" w:rsidR="00000000" w:rsidRPr="00000000">
        <w:rPr>
          <w:color w:val="1f3a68"/>
          <w:rtl w:val="0"/>
        </w:rPr>
        <w:t xml:space="preserve">1. Privacy.</w:t>
      </w:r>
      <w:r w:rsidDel="00000000" w:rsidR="00000000" w:rsidRPr="00000000">
        <w:rPr>
          <w:rtl w:val="0"/>
        </w:rPr>
      </w:r>
    </w:p>
    <w:p w:rsidR="00000000" w:rsidDel="00000000" w:rsidP="00000000" w:rsidRDefault="00000000" w:rsidRPr="00000000" w14:paraId="00000034">
      <w:pPr>
        <w:rPr/>
      </w:pPr>
      <w:r w:rsidDel="00000000" w:rsidR="00000000" w:rsidRPr="00000000">
        <w:rPr>
          <w:i w:val="1"/>
          <w:iCs w:val="1"/>
          <w:rtl w:val="0"/>
        </w:rPr>
        <w:t xml:space="preserve">Consent-first, Privacy-by-Design from day one.</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Adsquare’s platform was built around consent and compliance from day one. Privacy and compliance are architectural, not feature-level. Every signal carries an auditable consent lineage. The platform has not required retrofit to meet GDPR, CCPA, or subsequent regulations.</w:t>
        <w:br w:type="textWrapping"/>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e5c28e" w:space="0" w:sz="4" w:val="single"/>
              <w:left w:color="e5c28e" w:space="0" w:sz="4" w:val="single"/>
              <w:bottom w:color="e5c28e" w:space="0" w:sz="4" w:val="single"/>
              <w:right w:color="e5c28e" w:space="0" w:sz="4" w:val="single"/>
            </w:tcBorders>
            <w:shd w:fill="fff7e6" w:val="clear"/>
            <w:tcMar>
              <w:top w:w="160.0" w:type="dxa"/>
              <w:left w:w="200.0" w:type="dxa"/>
              <w:bottom w:w="160.0" w:type="dxa"/>
              <w:right w:w="200.0" w:type="dxa"/>
            </w:tcMar>
          </w:tcPr>
          <w:p w:rsidR="00000000" w:rsidDel="00000000" w:rsidP="00000000" w:rsidRDefault="00000000" w:rsidRPr="00000000" w14:paraId="00000036">
            <w:pPr>
              <w:spacing w:after="0" w:before="80" w:lineRule="auto"/>
              <w:rPr/>
            </w:pPr>
            <w:r w:rsidDel="00000000" w:rsidR="00000000" w:rsidRPr="00000000">
              <w:rPr>
                <w:i w:val="0"/>
                <w:iCs w:val="0"/>
                <w:rtl w:val="0"/>
              </w:rPr>
              <w:t xml:space="preserve">“Our platform was built around consent and compliance from day one. Adsquare only uses data that’s explicitly consented and fully compliant with GDPR, CCPA, and other global standards.”</w:t>
            </w:r>
            <w:r w:rsidDel="00000000" w:rsidR="00000000" w:rsidRPr="00000000">
              <w:rPr>
                <w:rtl w:val="0"/>
              </w:rPr>
            </w:r>
          </w:p>
        </w:tc>
      </w:tr>
    </w:tbl>
    <w:p w:rsidR="00000000" w:rsidDel="00000000" w:rsidP="00000000" w:rsidRDefault="00000000" w:rsidRPr="00000000" w14:paraId="00000037">
      <w:pPr>
        <w:pStyle w:val="Heading3"/>
        <w:spacing w:after="100" w:before="200" w:lineRule="auto"/>
        <w:rPr/>
      </w:pPr>
      <w:r w:rsidDel="00000000" w:rsidR="00000000" w:rsidRPr="00000000">
        <w:rPr>
          <w:color w:val="1f3a68"/>
          <w:rtl w:val="0"/>
        </w:rPr>
        <w:t xml:space="preserve">2. Connectivity.</w:t>
      </w:r>
      <w:r w:rsidDel="00000000" w:rsidR="00000000" w:rsidRPr="00000000">
        <w:rPr>
          <w:rtl w:val="0"/>
        </w:rPr>
      </w:r>
    </w:p>
    <w:p w:rsidR="00000000" w:rsidDel="00000000" w:rsidP="00000000" w:rsidRDefault="00000000" w:rsidRPr="00000000" w14:paraId="00000038">
      <w:pPr>
        <w:rPr/>
      </w:pPr>
      <w:r w:rsidDel="00000000" w:rsidR="00000000" w:rsidRPr="00000000">
        <w:rPr>
          <w:i w:val="1"/>
          <w:iCs w:val="1"/>
          <w:rtl w:val="0"/>
        </w:rPr>
        <w:t xml:space="preserve">Activated across all DSPs and platforms via Dashboard, API, and MCP Server.</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br w:type="textWrapping"/>
        <w:t xml:space="preserve">Adsquare integrates directly with every major programmatic platform - DSPs, SSPs, content and social platforms, and agency data platforms - across the global ecosystem. No data distributor. No third-party onboarding layer. No intermediate ID-resolution step.</w:t>
      </w:r>
    </w:p>
    <w:p w:rsidR="00000000" w:rsidDel="00000000" w:rsidP="00000000" w:rsidRDefault="00000000" w:rsidRPr="00000000" w14:paraId="0000003A">
      <w:pPr>
        <w:pStyle w:val="Heading3"/>
        <w:spacing w:after="100" w:before="200" w:lineRule="auto"/>
        <w:rPr/>
      </w:pPr>
      <w:r w:rsidDel="00000000" w:rsidR="00000000" w:rsidRPr="00000000">
        <w:rPr>
          <w:color w:val="1f3a68"/>
          <w:rtl w:val="0"/>
        </w:rPr>
        <w:t xml:space="preserve">3. Geographic footprint.</w:t>
      </w:r>
      <w:r w:rsidDel="00000000" w:rsidR="00000000" w:rsidRPr="00000000">
        <w:rPr>
          <w:rtl w:val="0"/>
        </w:rPr>
      </w:r>
    </w:p>
    <w:p w:rsidR="00000000" w:rsidDel="00000000" w:rsidP="00000000" w:rsidRDefault="00000000" w:rsidRPr="00000000" w14:paraId="0000003B">
      <w:pPr>
        <w:rPr/>
      </w:pPr>
      <w:r w:rsidDel="00000000" w:rsidR="00000000" w:rsidRPr="00000000">
        <w:rPr>
          <w:i w:val="1"/>
          <w:iCs w:val="1"/>
          <w:rtl w:val="0"/>
        </w:rPr>
        <w:t xml:space="preserve">26+ markets across Europe, the Americas, and APAC.</w:t>
      </w:r>
      <w:r w:rsidDel="00000000" w:rsidR="00000000" w:rsidRPr="00000000">
        <w:rPr>
          <w:rtl w:val="0"/>
        </w:rPr>
      </w:r>
    </w:p>
    <w:p w:rsidR="00000000" w:rsidDel="00000000" w:rsidP="00000000" w:rsidRDefault="00000000" w:rsidRPr="00000000" w14:paraId="0000003C">
      <w:pPr>
        <w:rPr/>
      </w:pPr>
      <w:r w:rsidDel="00000000" w:rsidR="00000000" w:rsidRPr="00000000">
        <w:rPr>
          <w:rtl w:val="0"/>
        </w:rPr>
        <w:br w:type="textWrapping"/>
        <w:t xml:space="preserve">A single global signal layer, calibrated locally per market but built on one underlying model. Multi-market campaigns reference the same data substrate and the same measurement methodology in every geography. Most direct competitors stop at the US and a handful of other markets.</w:t>
      </w:r>
    </w:p>
    <w:p w:rsidR="00000000" w:rsidDel="00000000" w:rsidP="00000000" w:rsidRDefault="00000000" w:rsidRPr="00000000" w14:paraId="0000003D">
      <w:pPr>
        <w:pStyle w:val="Heading3"/>
        <w:spacing w:after="100" w:before="200" w:lineRule="auto"/>
        <w:rPr/>
      </w:pPr>
      <w:r w:rsidDel="00000000" w:rsidR="00000000" w:rsidRPr="00000000">
        <w:rPr>
          <w:color w:val="1f3a68"/>
          <w:rtl w:val="0"/>
        </w:rPr>
        <w:t xml:space="preserve">4. Independence from media.</w:t>
      </w:r>
      <w:r w:rsidDel="00000000" w:rsidR="00000000" w:rsidRPr="00000000">
        <w:rPr>
          <w:rtl w:val="0"/>
        </w:rPr>
      </w:r>
    </w:p>
    <w:p w:rsidR="00000000" w:rsidDel="00000000" w:rsidP="00000000" w:rsidRDefault="00000000" w:rsidRPr="00000000" w14:paraId="0000003E">
      <w:pPr>
        <w:rPr/>
      </w:pPr>
      <w:r w:rsidDel="00000000" w:rsidR="00000000" w:rsidRPr="00000000">
        <w:rPr>
          <w:i w:val="1"/>
          <w:iCs w:val="1"/>
          <w:rtl w:val="0"/>
        </w:rPr>
        <w:t xml:space="preserve">No media skin in the game. Pure data and intelligence. Adsquare does not buy or sell media.</w:t>
      </w:r>
      <w:r w:rsidDel="00000000" w:rsidR="00000000" w:rsidRPr="00000000">
        <w:rPr>
          <w:rtl w:val="0"/>
        </w:rPr>
      </w:r>
    </w:p>
    <w:p w:rsidR="00000000" w:rsidDel="00000000" w:rsidP="00000000" w:rsidRDefault="00000000" w:rsidRPr="00000000" w14:paraId="0000003F">
      <w:pPr>
        <w:rPr/>
      </w:pPr>
      <w:r w:rsidDel="00000000" w:rsidR="00000000" w:rsidRPr="00000000">
        <w:rPr>
          <w:rtl w:val="0"/>
        </w:rPr>
        <w:br w:type="textWrapping"/>
        <w:t xml:space="preserve">Adsquare owns no media inventory and sells no impressions. The commercial model decouples data revenue from media revenue, ensuring the intelligence optimizes for the buyer’s campaign rather than for any vendor’s inventory.</w:t>
      </w:r>
    </w:p>
    <w:p w:rsidR="00000000" w:rsidDel="00000000" w:rsidP="00000000" w:rsidRDefault="00000000" w:rsidRPr="00000000" w14:paraId="00000040">
      <w:pPr>
        <w:pBdr>
          <w:bottom w:color="cccccc" w:space="1" w:sz="6" w:val="single"/>
        </w:pBdr>
        <w:spacing w:after="240" w:before="240" w:lineRule="auto"/>
        <w:rPr/>
      </w:pPr>
      <w:r w:rsidDel="00000000" w:rsidR="00000000" w:rsidRPr="00000000">
        <w:rPr>
          <w:rtl w:val="0"/>
        </w:rPr>
      </w:r>
    </w:p>
    <w:p w:rsidR="00000000" w:rsidDel="00000000" w:rsidP="00000000" w:rsidRDefault="00000000" w:rsidRPr="00000000" w14:paraId="00000041">
      <w:pPr>
        <w:pStyle w:val="Heading1"/>
        <w:spacing w:after="200" w:before="360" w:lineRule="auto"/>
        <w:rPr/>
      </w:pPr>
      <w:r w:rsidDel="00000000" w:rsidR="00000000" w:rsidRPr="00000000">
        <w:rPr>
          <w:color w:val="1f3a68"/>
          <w:rtl w:val="0"/>
        </w:rPr>
        <w:t xml:space="preserve">The Guarantee.</w:t>
      </w: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Adsquare’s outcome commitment. Locked, current website wording.</w:t>
      </w:r>
    </w:p>
    <w:p w:rsidR="00000000" w:rsidDel="00000000" w:rsidP="00000000" w:rsidRDefault="00000000" w:rsidRPr="00000000" w14:paraId="00000043">
      <w:pPr>
        <w:spacing w:after="120" w:lineRule="auto"/>
        <w:rPr/>
      </w:pP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e5c28e" w:space="0" w:sz="4" w:val="single"/>
              <w:left w:color="e5c28e" w:space="0" w:sz="4" w:val="single"/>
              <w:bottom w:color="e5c28e" w:space="0" w:sz="4" w:val="single"/>
              <w:right w:color="e5c28e" w:space="0" w:sz="4" w:val="single"/>
            </w:tcBorders>
            <w:shd w:fill="fff7e6" w:val="clear"/>
            <w:tcMar>
              <w:top w:w="160.0" w:type="dxa"/>
              <w:left w:w="200.0" w:type="dxa"/>
              <w:bottom w:w="160.0" w:type="dxa"/>
              <w:right w:w="200.0" w:type="dxa"/>
            </w:tcMar>
          </w:tcPr>
          <w:p w:rsidR="00000000" w:rsidDel="00000000" w:rsidP="00000000" w:rsidRDefault="00000000" w:rsidRPr="00000000" w14:paraId="00000044">
            <w:pPr>
              <w:spacing w:after="0" w:before="0" w:lineRule="auto"/>
              <w:rPr/>
            </w:pPr>
            <w:r w:rsidDel="00000000" w:rsidR="00000000" w:rsidRPr="00000000">
              <w:rPr>
                <w:b w:val="1"/>
                <w:bCs w:val="1"/>
                <w:rtl w:val="0"/>
              </w:rPr>
              <w:t>Improve decision making at every stage of The Outcome Loop, or the data is on us. Each stage of The Outcome Loop — Planning, Targeting, Optimization, Validation — is measured independently. If the data doesn’t sharpen your decisions, it’s on us.</w:t>
            </w:r>
            <w:r w:rsidDel="00000000" w:rsidR="00000000" w:rsidRPr="00000000">
              <w:rPr>
                <w:rtl w:val="0"/>
              </w:rPr>
            </w:r>
          </w:p>
        </w:tc>
      </w:tr>
    </w:tbl>
    <w:p w:rsidR="00000000" w:rsidDel="00000000" w:rsidP="00000000" w:rsidRDefault="00000000" w:rsidRPr="00000000" w14:paraId="00000045">
      <w:pPr>
        <w:pBdr>
          <w:bottom w:color="cccccc" w:space="1" w:sz="6" w:val="single"/>
        </w:pBdr>
        <w:spacing w:after="240" w:before="240" w:lineRule="auto"/>
        <w:rPr/>
      </w:pPr>
      <w:r w:rsidDel="00000000" w:rsidR="00000000" w:rsidRPr="00000000">
        <w:rPr>
          <w:rtl w:val="0"/>
        </w:rPr>
      </w:r>
    </w:p>
    <w:p w:rsidR="00000000" w:rsidDel="00000000" w:rsidP="00000000" w:rsidRDefault="00000000" w:rsidRPr="00000000" w14:paraId="00000046">
      <w:pPr>
        <w:pStyle w:val="Heading1"/>
        <w:spacing w:after="200" w:before="360" w:lineRule="auto"/>
        <w:rPr/>
      </w:pPr>
      <w:r w:rsidDel="00000000" w:rsidR="00000000" w:rsidRPr="00000000">
        <w:rPr>
          <w:color w:val="1f3a68"/>
          <w:rtl w:val="0"/>
        </w:rPr>
        <w:t xml:space="preserve">Customers.</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Selected client logos approved for marketing surfaces. Full lists available on request.</w:t>
      </w:r>
    </w:p>
    <w:p w:rsidR="00000000" w:rsidDel="00000000" w:rsidP="00000000" w:rsidRDefault="00000000" w:rsidRPr="00000000" w14:paraId="00000048">
      <w:pPr>
        <w:pStyle w:val="Heading3"/>
        <w:spacing w:after="100" w:before="200" w:lineRule="auto"/>
        <w:rPr/>
      </w:pPr>
      <w:r w:rsidDel="00000000" w:rsidR="00000000" w:rsidRPr="00000000">
        <w:rPr>
          <w:color w:val="1f3a68"/>
          <w:rtl w:val="0"/>
        </w:rPr>
        <w:t xml:space="preserve">Brands (selected)</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Mercedes-Benz · Porsche · Toyota · Volkswagen · Renault · IKEA · Walmart · Hugo Boss · Coca-Cola · Unilever · Nestlé · McDonald’s · Burger King · Samsung · Philips</w:t>
      </w:r>
    </w:p>
    <w:p w:rsidR="00000000" w:rsidDel="00000000" w:rsidP="00000000" w:rsidRDefault="00000000" w:rsidRPr="00000000" w14:paraId="0000004A">
      <w:pPr>
        <w:pStyle w:val="Heading3"/>
        <w:spacing w:after="100" w:before="200" w:lineRule="auto"/>
        <w:rPr/>
      </w:pPr>
      <w:r w:rsidDel="00000000" w:rsidR="00000000" w:rsidRPr="00000000">
        <w:rPr>
          <w:color w:val="1f3a68"/>
          <w:rtl w:val="0"/>
        </w:rPr>
        <w:t xml:space="preserve">Agencies (selected)</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MediaCom · Mindshare · OMD · PHD · Publicis Media · Zenith · Carat · Initiative · Havas Media · GroupM Nexus · iProspect · EssenceMediacom</w:t>
      </w:r>
    </w:p>
    <w:p w:rsidR="00000000" w:rsidDel="00000000" w:rsidP="00000000" w:rsidRDefault="00000000" w:rsidRPr="00000000" w14:paraId="0000004C">
      <w:pPr>
        <w:pStyle w:val="Heading3"/>
        <w:spacing w:after="100" w:before="200" w:lineRule="auto"/>
        <w:rPr/>
      </w:pPr>
      <w:r w:rsidDel="00000000" w:rsidR="00000000" w:rsidRPr="00000000">
        <w:rPr>
          <w:color w:val="1f3a68"/>
          <w:rtl w:val="0"/>
        </w:rPr>
        <w:t xml:space="preserve">Platforms (selected)</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The Trade Desk · DV360 · Adform · StackAdapt · Xandr · Adobe Marketing Cloud · Amazon Marketing Cloud · LiveRamp · Meta · TikTok · Spotify · JCDecaux · Hivestack · Vistar Media</w:t>
      </w:r>
    </w:p>
    <w:p w:rsidR="00000000" w:rsidDel="00000000" w:rsidP="00000000" w:rsidRDefault="00000000" w:rsidRPr="00000000" w14:paraId="0000004E">
      <w:pPr>
        <w:pBdr>
          <w:bottom w:color="cccccc" w:space="1" w:sz="6" w:val="single"/>
        </w:pBdr>
        <w:spacing w:after="240" w:before="240" w:lineRule="auto"/>
        <w:rPr/>
      </w:pPr>
      <w:r w:rsidDel="00000000" w:rsidR="00000000" w:rsidRPr="00000000">
        <w:rPr>
          <w:rtl w:val="0"/>
        </w:rPr>
      </w:r>
    </w:p>
    <w:p w:rsidR="00000000" w:rsidDel="00000000" w:rsidP="00000000" w:rsidRDefault="00000000" w:rsidRPr="00000000" w14:paraId="0000004F">
      <w:pPr>
        <w:pStyle w:val="Heading1"/>
        <w:spacing w:after="200" w:before="360" w:lineRule="auto"/>
        <w:rPr/>
      </w:pPr>
      <w:r w:rsidDel="00000000" w:rsidR="00000000" w:rsidRPr="00000000">
        <w:rPr>
          <w:color w:val="1f3a68"/>
          <w:rtl w:val="0"/>
        </w:rPr>
        <w:t xml:space="preserve">Selected client quotes.</w:t>
      </w:r>
      <w:r w:rsidDel="00000000" w:rsidR="00000000" w:rsidRPr="00000000">
        <w:rPr>
          <w:rtl w:val="0"/>
        </w:rPr>
      </w:r>
    </w:p>
    <w:p w:rsidR="00000000" w:rsidDel="00000000" w:rsidP="00000000" w:rsidRDefault="00000000" w:rsidRPr="00000000" w14:paraId="00000050">
      <w:pPr>
        <w:spacing w:after="160" w:lineRule="auto"/>
        <w:rPr/>
      </w:pP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1f3a68" w:space="0" w:sz="12" w:val="single"/>
              <w:bottom w:color="000000" w:space="0" w:sz="0" w:val="nil"/>
              <w:right w:color="000000" w:space="0" w:sz="0" w:val="nil"/>
            </w:tcBorders>
            <w:tcMar>
              <w:top w:w="120.0" w:type="dxa"/>
              <w:left w:w="280.0" w:type="dxa"/>
              <w:bottom w:w="120.0" w:type="dxa"/>
              <w:right w:w="120.0" w:type="dxa"/>
            </w:tcMar>
          </w:tcPr>
          <w:p w:rsidR="00000000" w:rsidDel="00000000" w:rsidP="00000000" w:rsidRDefault="00000000" w:rsidRPr="00000000" w14:paraId="00000051">
            <w:pPr>
              <w:spacing w:after="80" w:lineRule="auto"/>
              <w:rPr/>
            </w:pPr>
            <w:r w:rsidDel="00000000" w:rsidR="00000000" w:rsidRPr="00000000">
              <w:rPr>
                <w:i w:val="1"/>
                <w:iCs w:val="1"/>
                <w:rtl w:val="0"/>
              </w:rPr>
              <w:t xml:space="preserve">“What sets Adsquare apart is the ability to measure our digital campaigns across multiple markets and independently of each channel. It is a particularly important feature to us when measuring the impact of our always-on multi-market campaigns.”</w:t>
            </w:r>
            <w:r w:rsidDel="00000000" w:rsidR="00000000" w:rsidRPr="00000000">
              <w:rPr>
                <w:rtl w:val="0"/>
              </w:rPr>
            </w:r>
          </w:p>
          <w:p w:rsidR="00000000" w:rsidDel="00000000" w:rsidP="00000000" w:rsidRDefault="00000000" w:rsidRPr="00000000" w14:paraId="00000052">
            <w:pPr>
              <w:rPr/>
            </w:pPr>
            <w:r w:rsidDel="00000000" w:rsidR="00000000" w:rsidRPr="00000000">
              <w:rPr>
                <w:b w:val="1"/>
                <w:bCs w:val="1"/>
                <w:sz w:val="20"/>
                <w:szCs w:val="20"/>
                <w:rtl w:val="0"/>
              </w:rPr>
              <w:t xml:space="preserve">— Austin Tenny, F&amp;B Digital Marketing, Marriott International</w:t>
            </w:r>
            <w:r w:rsidDel="00000000" w:rsidR="00000000" w:rsidRPr="00000000">
              <w:rPr>
                <w:rtl w:val="0"/>
              </w:rPr>
            </w:r>
          </w:p>
        </w:tc>
      </w:tr>
    </w:tbl>
    <w:p w:rsidR="00000000" w:rsidDel="00000000" w:rsidP="00000000" w:rsidRDefault="00000000" w:rsidRPr="00000000" w14:paraId="00000053">
      <w:pPr>
        <w:spacing w:after="160" w:lineRule="auto"/>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1f3a68" w:space="0" w:sz="12" w:val="single"/>
              <w:bottom w:color="000000" w:space="0" w:sz="0" w:val="nil"/>
              <w:right w:color="000000" w:space="0" w:sz="0" w:val="nil"/>
            </w:tcBorders>
            <w:tcMar>
              <w:top w:w="120.0" w:type="dxa"/>
              <w:left w:w="280.0" w:type="dxa"/>
              <w:bottom w:w="120.0" w:type="dxa"/>
              <w:right w:w="120.0" w:type="dxa"/>
            </w:tcMar>
          </w:tcPr>
          <w:p w:rsidR="00000000" w:rsidDel="00000000" w:rsidP="00000000" w:rsidRDefault="00000000" w:rsidRPr="00000000" w14:paraId="00000054">
            <w:pPr>
              <w:spacing w:after="80" w:lineRule="auto"/>
              <w:rPr/>
            </w:pPr>
            <w:r w:rsidDel="00000000" w:rsidR="00000000" w:rsidRPr="00000000">
              <w:rPr>
                <w:i w:val="1"/>
                <w:iCs w:val="1"/>
                <w:rtl w:val="0"/>
              </w:rPr>
              <w:t xml:space="preserve">“We chose Adsquare for Porsche because of its commitment to real, verifiable data. Unlike solutions that rely on extrapolation, Adsquare allows us to focus on actual customer behaviour. This means filtering out the noise, such as dealership employees, and concentrating on fresh foot traffic.”</w:t>
            </w:r>
            <w:r w:rsidDel="00000000" w:rsidR="00000000" w:rsidRPr="00000000">
              <w:rPr>
                <w:rtl w:val="0"/>
              </w:rPr>
            </w:r>
          </w:p>
          <w:p w:rsidR="00000000" w:rsidDel="00000000" w:rsidP="00000000" w:rsidRDefault="00000000" w:rsidRPr="00000000" w14:paraId="00000055">
            <w:pPr>
              <w:rPr/>
            </w:pPr>
            <w:r w:rsidDel="00000000" w:rsidR="00000000" w:rsidRPr="00000000">
              <w:rPr>
                <w:b w:val="1"/>
                <w:bCs w:val="1"/>
                <w:sz w:val="20"/>
                <w:szCs w:val="20"/>
                <w:rtl w:val="0"/>
              </w:rPr>
              <w:t xml:space="preserve">— Jeff McCann, Country Manager, Silverpush Canada</w:t>
            </w:r>
            <w:r w:rsidDel="00000000" w:rsidR="00000000" w:rsidRPr="00000000">
              <w:rPr>
                <w:rtl w:val="0"/>
              </w:rPr>
            </w:r>
          </w:p>
        </w:tc>
      </w:tr>
    </w:tbl>
    <w:p w:rsidR="00000000" w:rsidDel="00000000" w:rsidP="00000000" w:rsidRDefault="00000000" w:rsidRPr="00000000" w14:paraId="00000056">
      <w:pPr>
        <w:spacing w:after="160" w:lineRule="auto"/>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1f3a68" w:space="0" w:sz="12" w:val="single"/>
              <w:bottom w:color="000000" w:space="0" w:sz="0" w:val="nil"/>
              <w:right w:color="000000" w:space="0" w:sz="0" w:val="nil"/>
            </w:tcBorders>
            <w:tcMar>
              <w:top w:w="120.0" w:type="dxa"/>
              <w:left w:w="280.0" w:type="dxa"/>
              <w:bottom w:w="120.0" w:type="dxa"/>
              <w:right w:w="120.0" w:type="dxa"/>
            </w:tcMar>
          </w:tcPr>
          <w:p w:rsidR="00000000" w:rsidDel="00000000" w:rsidP="00000000" w:rsidRDefault="00000000" w:rsidRPr="00000000" w14:paraId="00000057">
            <w:pPr>
              <w:spacing w:after="80" w:lineRule="auto"/>
              <w:rPr/>
            </w:pPr>
            <w:r w:rsidDel="00000000" w:rsidR="00000000" w:rsidRPr="00000000">
              <w:rPr>
                <w:i w:val="1"/>
                <w:iCs w:val="1"/>
                <w:rtl w:val="0"/>
              </w:rPr>
              <w:t xml:space="preserve">“Thanks to Adsquare’s Footfall Measurement functionality, we can now clearly link our advertisements to restaurant visits and proactively optimize campaigns in real-time. We definitely plan to leverage real-time visits data to craft more successful digital marketing campaigns.”</w:t>
            </w: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0"/>
                <w:szCs w:val="20"/>
                <w:rtl w:val="0"/>
              </w:rPr>
              <w:t xml:space="preserve">— Stephanie Pelz, Department Head, Marketing CRM &amp; Loyalty, McDonald’s</w:t>
            </w:r>
            <w:r w:rsidDel="00000000" w:rsidR="00000000" w:rsidRPr="00000000">
              <w:rPr>
                <w:rtl w:val="0"/>
              </w:rPr>
            </w:r>
          </w:p>
        </w:tc>
      </w:tr>
    </w:tbl>
    <w:p w:rsidR="00000000" w:rsidDel="00000000" w:rsidP="00000000" w:rsidRDefault="00000000" w:rsidRPr="00000000" w14:paraId="00000059">
      <w:pPr>
        <w:spacing w:after="200" w:lineRule="auto"/>
        <w:rPr/>
      </w:pPr>
      <w:r w:rsidDel="00000000" w:rsidR="00000000" w:rsidRPr="00000000">
        <w:rPr>
          <w:rtl w:val="0"/>
        </w:rPr>
      </w:r>
    </w:p>
    <w:p w:rsidR="00000000" w:rsidDel="00000000" w:rsidP="00000000" w:rsidRDefault="00000000" w:rsidRPr="00000000" w14:paraId="0000005A">
      <w:pPr>
        <w:pStyle w:val="Heading1"/>
        <w:spacing w:after="200" w:before="360" w:lineRule="auto"/>
        <w:rPr/>
      </w:pPr>
      <w:r w:rsidDel="00000000" w:rsidR="00000000" w:rsidRPr="00000000">
        <w:rPr>
          <w:color w:val="1f3a68"/>
          <w:rtl w:val="0"/>
        </w:rPr>
        <w:t xml:space="preserve">Spokespeople.</w:t>
      </w: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Who can be quoted on what. Listed so journalists know who to reach for which subject.</w:t>
        <w:br w:type="textWrapping"/>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Tom Laband, Co-Founder and CEO</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b w:val="1"/>
          <w:bCs w:val="1"/>
          <w:rtl w:val="0"/>
        </w:rPr>
        <w:t xml:space="preserve">Fritz Richter. Co-Founder and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CTO</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Sebastien Do</w:t>
      </w:r>
      <w:r w:rsidDel="00000000" w:rsidR="00000000" w:rsidRPr="00000000">
        <w:rPr>
          <w:b w:val="1"/>
          <w:bCs w:val="1"/>
          <w:rtl w:val="0"/>
        </w:rPr>
        <w:t xml:space="preserve">erfel, Co-Founder and CFO</w:t>
      </w:r>
    </w:p>
    <w:p w:rsidR="00000000" w:rsidDel="00000000" w:rsidP="00000000" w:rsidRDefault="00000000" w:rsidRPr="00000000" w14:paraId="0000005F">
      <w:pPr>
        <w:spacing w:after="200" w:lineRule="auto"/>
        <w:rPr/>
      </w:pPr>
      <w:r w:rsidDel="00000000" w:rsidR="00000000" w:rsidRPr="00000000">
        <w:rPr>
          <w:rtl w:val="0"/>
        </w:rPr>
      </w:r>
    </w:p>
    <w:p w:rsidR="00000000" w:rsidDel="00000000" w:rsidP="00000000" w:rsidRDefault="00000000" w:rsidRPr="00000000" w14:paraId="00000060">
      <w:pPr>
        <w:pStyle w:val="Heading1"/>
        <w:spacing w:after="200" w:before="360" w:lineRule="auto"/>
        <w:rPr/>
      </w:pPr>
      <w:r w:rsidDel="00000000" w:rsidR="00000000" w:rsidRPr="00000000">
        <w:rPr>
          <w:color w:val="1f3a68"/>
          <w:rtl w:val="0"/>
        </w:rPr>
        <w:t xml:space="preserve">Press contact.</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Email: </w:t>
      </w:r>
      <w:r w:rsidDel="00000000" w:rsidR="00000000" w:rsidRPr="00000000">
        <w:rPr>
          <w:rtl w:val="0"/>
        </w:rPr>
        <w:t xml:space="preserve">marketing</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@adsquare.com</w:t>
      </w:r>
    </w:p>
    <w:p w:rsidR="00000000" w:rsidDel="00000000" w:rsidP="00000000" w:rsidRDefault="00000000" w:rsidRPr="00000000" w14:paraId="0000006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Response window: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we aim to respond within one business day</w:t>
      </w:r>
      <w:r w:rsidDel="00000000" w:rsidR="00000000" w:rsidRPr="00000000">
        <w:rPr>
          <w:rtl w:val="0"/>
        </w:rPr>
      </w:r>
    </w:p>
    <w:p w:rsidR="00000000" w:rsidDel="00000000" w:rsidP="00000000" w:rsidRDefault="00000000" w:rsidRPr="00000000" w14:paraId="00000063">
      <w:pPr>
        <w:pStyle w:val="Heading1"/>
        <w:spacing w:after="200" w:before="360" w:lineRule="auto"/>
        <w:rPr/>
      </w:pPr>
      <w:r w:rsidDel="00000000" w:rsidR="00000000" w:rsidRPr="00000000">
        <w:rPr>
          <w:color w:val="1f3a68"/>
          <w:rtl w:val="0"/>
        </w:rPr>
        <w:t xml:space="preserve">Brand assets.</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Downloadable for editorial and partner use. All assets follow Adsquare brand guidelines - clearspace, minimum size, color rules apply.</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Primary logo - </w:t>
      </w:r>
      <w:hyperlink r:id="rId6">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PNG</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6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White logo - </w:t>
      </w:r>
      <w:hyperlink r:id="rId7">
        <w:r w:rsidDel="00000000" w:rsidR="00000000" w:rsidRPr="00000000">
          <w:rPr>
            <w:color w:val="1155cc"/>
            <w:u w:val="single"/>
            <w:rtl w:val="0"/>
          </w:rPr>
          <w:t xml:space="preserve">PNG</w:t>
        </w:r>
      </w:hyperlink>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Blue logo - </w:t>
      </w:r>
      <w:hyperlink r:id="rId8">
        <w:r w:rsidDel="00000000" w:rsidR="00000000" w:rsidRPr="00000000">
          <w:rPr>
            <w:color w:val="1155cc"/>
            <w:u w:val="single"/>
            <w:rtl w:val="0"/>
          </w:rPr>
          <w:t xml:space="preserve">PNG</w:t>
        </w:r>
      </w:hyperlink>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Turquoise logo - </w:t>
      </w:r>
      <w:hyperlink r:id="rId9">
        <w:r w:rsidDel="00000000" w:rsidR="00000000" w:rsidRPr="00000000">
          <w:rPr>
            <w:color w:val="1155cc"/>
            <w:u w:val="single"/>
            <w:rtl w:val="0"/>
          </w:rPr>
          <w:t xml:space="preserve">PNG</w:t>
        </w:r>
      </w:hyperlink>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360" w:line="240" w:lineRule="auto"/>
      <w:ind w:left="0" w:right="0" w:firstLine="0"/>
      <w:jc w:val="left"/>
    </w:pPr>
    <w:rPr>
      <w:rFonts w:ascii="Arial" w:cs="Arial" w:eastAsia="Arial" w:hAnsi="Arial"/>
      <w:b w:val="1"/>
      <w:bCs w:val="1"/>
      <w:i w:val="0"/>
      <w:iCs w:val="0"/>
      <w:smallCaps w:val="0"/>
      <w:strike w:val="0"/>
      <w:color w:val="000000"/>
      <w:sz w:val="40"/>
      <w:szCs w:val="40"/>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left"/>
    </w:pPr>
    <w:rPr>
      <w:rFonts w:ascii="Arial" w:cs="Arial" w:eastAsia="Arial" w:hAnsi="Arial"/>
      <w:b w:val="1"/>
      <w:bCs w:val="1"/>
      <w:i w:val="0"/>
      <w:iCs w:val="0"/>
      <w:smallCaps w:val="0"/>
      <w:strike w:val="0"/>
      <w:color w:val="000000"/>
      <w:sz w:val="30"/>
      <w:szCs w:val="3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200" w:line="240" w:lineRule="auto"/>
      <w:ind w:left="0" w:right="0" w:firstLine="0"/>
      <w:jc w:val="left"/>
    </w:pPr>
    <w:rPr>
      <w:rFonts w:ascii="Arial" w:cs="Arial" w:eastAsia="Arial" w:hAnsi="Arial"/>
      <w:b w:val="1"/>
      <w:bCs w:val="1"/>
      <w:i w:val="0"/>
      <w:iCs w:val="0"/>
      <w:smallCaps w:val="0"/>
      <w:strike w:val="0"/>
      <w:color w:val="000000"/>
      <w:sz w:val="26"/>
      <w:szCs w:val="26"/>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hloe.insightly.services/hf/Adsquare_logo-turqoise" TargetMode="External"/><Relationship Id="rId5" Type="http://schemas.openxmlformats.org/officeDocument/2006/relationships/styles" Target="styles.xml"/><Relationship Id="rId6" Type="http://schemas.openxmlformats.org/officeDocument/2006/relationships/hyperlink" Target="https://chloe.insightly.services/hf/Adsquare_logo-standard" TargetMode="External"/><Relationship Id="rId7" Type="http://schemas.openxmlformats.org/officeDocument/2006/relationships/hyperlink" Target="https://chloe.insightly.services/hf/Adsquare_logo-white" TargetMode="External"/><Relationship Id="rId8" Type="http://schemas.openxmlformats.org/officeDocument/2006/relationships/hyperlink" Target="https://chloe.insightly.services/hf/Adsquare_logo-bl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